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ind w:firstLine="0" w:firstLineChars="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pStyle w:val="2"/>
        <w:rPr>
          <w:rFonts w:hint="eastAsia"/>
          <w:lang w:val="en-US" w:eastAsia="zh-CN"/>
        </w:rPr>
      </w:pPr>
    </w:p>
    <w:p>
      <w:pPr>
        <w:adjustRightInd w:val="0"/>
        <w:snapToGrid w:val="0"/>
        <w:spacing w:line="276" w:lineRule="auto"/>
        <w:ind w:firstLine="0" w:firstLineChars="0"/>
        <w:jc w:val="center"/>
        <w:rPr>
          <w:rFonts w:hint="eastAsia" w:ascii="方正小标宋简体" w:hAnsi="方正小标宋简体" w:eastAsia="方正小标宋简体" w:cs="方正小标宋简体"/>
          <w:b w:val="0"/>
          <w:bCs/>
          <w:sz w:val="36"/>
          <w:szCs w:val="36"/>
        </w:rPr>
      </w:pPr>
      <w:bookmarkStart w:id="0" w:name="_GoBack"/>
      <w:r>
        <w:rPr>
          <w:rFonts w:hint="eastAsia" w:ascii="方正小标宋简体" w:hAnsi="方正小标宋简体" w:eastAsia="方正小标宋简体" w:cs="方正小标宋简体"/>
          <w:b w:val="0"/>
          <w:bCs/>
          <w:sz w:val="36"/>
          <w:szCs w:val="36"/>
        </w:rPr>
        <w:t>省地方志办202</w:t>
      </w:r>
      <w:r>
        <w:rPr>
          <w:rFonts w:hint="eastAsia" w:ascii="方正小标宋简体" w:hAnsi="方正小标宋简体" w:eastAsia="方正小标宋简体" w:cs="方正小标宋简体"/>
          <w:b w:val="0"/>
          <w:bCs/>
          <w:sz w:val="36"/>
          <w:szCs w:val="36"/>
          <w:lang w:val="en-US" w:eastAsia="zh-CN"/>
        </w:rPr>
        <w:t>5</w:t>
      </w:r>
      <w:r>
        <w:rPr>
          <w:rFonts w:hint="eastAsia" w:ascii="方正小标宋简体" w:hAnsi="方正小标宋简体" w:eastAsia="方正小标宋简体" w:cs="方正小标宋简体"/>
          <w:b w:val="0"/>
          <w:bCs/>
          <w:sz w:val="36"/>
          <w:szCs w:val="36"/>
        </w:rPr>
        <w:t>年方志广东品牌打造服务</w:t>
      </w:r>
      <w:r>
        <w:rPr>
          <w:rFonts w:hint="eastAsia" w:ascii="方正小标宋简体" w:hAnsi="方正小标宋简体" w:eastAsia="方正小标宋简体" w:cs="方正小标宋简体"/>
          <w:b w:val="0"/>
          <w:bCs/>
          <w:sz w:val="36"/>
          <w:szCs w:val="36"/>
          <w:lang w:val="en-US" w:eastAsia="zh-CN"/>
        </w:rPr>
        <w:t>需求</w:t>
      </w:r>
    </w:p>
    <w:bookmarkEnd w:id="0"/>
    <w:p>
      <w:pPr>
        <w:adjustRightInd w:val="0"/>
        <w:snapToGrid w:val="0"/>
        <w:spacing w:line="276"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一、项目背景</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助力</w:t>
      </w:r>
      <w:r>
        <w:rPr>
          <w:rFonts w:hint="eastAsia" w:ascii="仿宋_GB2312" w:hAnsi="仿宋_GB2312" w:eastAsia="仿宋_GB2312" w:cs="仿宋_GB2312"/>
          <w:sz w:val="32"/>
          <w:szCs w:val="32"/>
        </w:rPr>
        <w:t>国家文化强国战略，深入贯彻落实习近平文化思想和习近平总书记</w:t>
      </w:r>
      <w:r>
        <w:rPr>
          <w:rFonts w:hint="eastAsia" w:ascii="仿宋_GB2312" w:hAnsi="仿宋_GB2312" w:eastAsia="仿宋_GB2312" w:cs="仿宋_GB2312"/>
          <w:sz w:val="32"/>
          <w:szCs w:val="32"/>
          <w:lang w:val="en-US" w:eastAsia="zh-CN"/>
        </w:rPr>
        <w:t>对广东系列</w:t>
      </w:r>
      <w:r>
        <w:rPr>
          <w:rFonts w:hint="eastAsia" w:ascii="仿宋_GB2312" w:hAnsi="仿宋_GB2312" w:eastAsia="仿宋_GB2312" w:cs="仿宋_GB2312"/>
          <w:sz w:val="32"/>
          <w:szCs w:val="32"/>
        </w:rPr>
        <w:t>重要讲话、重要指示精神，依据《广东省地方志工作条例》以及省委办公厅、省政府办公厅《</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进一步加强新时代地方志工作的通知》要求，结合省地方志办《关于加快推进全省地方志数字化工作的通知》部署，我办计划于2025年全面启动“方志广东”品牌打造工程。旨在通过数字化、现代化的手段，进一步繁荣和发展我省地方志事业，激发</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创新活力，提升广东地方志产业的国际影响力和竞争力。</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旨在深入挖掘和整合广东省丰富的地方文化和地情资源，运用图文、声音、影像、动画等多媒体表现形式，以及新媒体平台的广泛传播力，打造具有广东特色的地方志文化品牌。通过创新性的传播方式和手段，以人民群众喜闻乐见的形式，生动展现广东的历史文化底蕴、发展成就和独特魅力，切实讲好广东故事，传播广东声音，让世界更加了解广东、读懂广东、认识广东。</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二、项目需求</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（一）主要内容</w:t>
      </w:r>
    </w:p>
    <w:p>
      <w:pPr>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项目内容主要为</w:t>
      </w:r>
      <w:r>
        <w:rPr>
          <w:rFonts w:hint="eastAsia" w:ascii="仿宋_GB2312" w:hAnsi="仿宋_GB2312" w:eastAsia="仿宋_GB2312" w:cs="仿宋_GB2312"/>
          <w:b/>
          <w:bCs/>
          <w:sz w:val="32"/>
          <w:szCs w:val="32"/>
        </w:rPr>
        <w:t>2025年4-12月方志广东品牌打造及内容采编和发布</w:t>
      </w:r>
      <w:r>
        <w:rPr>
          <w:rFonts w:hint="eastAsia" w:ascii="仿宋_GB2312" w:hAnsi="仿宋_GB2312" w:eastAsia="仿宋_GB2312" w:cs="仿宋_GB2312"/>
          <w:b/>
          <w:bCs/>
          <w:sz w:val="32"/>
          <w:szCs w:val="32"/>
          <w:lang w:val="en-US" w:eastAsia="zh-CN"/>
        </w:rPr>
        <w:t>工作，具体要求如下：</w:t>
      </w:r>
    </w:p>
    <w:p>
      <w:pPr>
        <w:adjustRightInd w:val="0"/>
        <w:snapToGri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1）确保方志广东微信公众号符合国务院办公厅关于政务新媒体建设规范的相关要求。</w:t>
      </w:r>
    </w:p>
    <w:p>
      <w:pPr>
        <w:adjustRightInd w:val="0"/>
        <w:snapToGri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2）方志广东系列专题（9个月常规性宣传）。适合网站和新媒体推出的产业类深度专题栏目累计3个，累计约30篇原创文章。</w:t>
      </w:r>
    </w:p>
    <w:p>
      <w:pPr>
        <w:adjustRightInd w:val="0"/>
        <w:snapToGri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3）方志广东宣传性视频、H5互动、长图等累计4个产品，方向：特色产业、特色物产、特色村落、特色文化、节庆系列等。</w:t>
      </w:r>
    </w:p>
    <w:p>
      <w:pPr>
        <w:adjustRightInd w:val="0"/>
        <w:snapToGri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4）宣传推广学习强国、主流媒体网站、新媒体等大平台全渠道宣传推广。</w:t>
      </w:r>
    </w:p>
    <w:p>
      <w:pPr>
        <w:adjustRightInd w:val="0"/>
        <w:snapToGrid w:val="0"/>
        <w:spacing w:line="560" w:lineRule="exact"/>
        <w:ind w:firstLine="640" w:firstLineChars="200"/>
        <w:rPr>
          <w:rFonts w:hint="eastAsia" w:ascii="楷体" w:hAnsi="楷体" w:eastAsia="楷体" w:cs="楷体"/>
          <w:b/>
          <w:bCs/>
          <w:sz w:val="32"/>
          <w:szCs w:val="32"/>
        </w:rPr>
      </w:pPr>
      <w:r>
        <w:rPr>
          <w:rFonts w:hint="eastAsia" w:ascii="仿宋_GB2312" w:hAnsi="仿宋_GB2312" w:eastAsia="仿宋_GB2312" w:cs="仿宋_GB2312"/>
          <w:b w:val="0"/>
          <w:bCs w:val="0"/>
          <w:sz w:val="32"/>
          <w:szCs w:val="32"/>
        </w:rPr>
        <w:t>5）其他内容采编和驻点发布服务，后方技术支撑团队等。</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（二）宣传推广规划</w:t>
      </w:r>
    </w:p>
    <w:p>
      <w:pPr>
        <w:pStyle w:val="4"/>
        <w:adjustRightInd w:val="0"/>
        <w:snapToGrid w:val="0"/>
        <w:spacing w:after="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建立“方志广东”新媒体发布生态圈。以“方志广东”微信公众号为基础，借助互联网平台流量优势，布局新媒体生态圈，充分利用互联网平台流量优势，以微信公众号为内容生产基地，根据各平台新闻推荐特征以及用户阅读习惯，分发至</w:t>
      </w:r>
      <w:r>
        <w:rPr>
          <w:rFonts w:hint="eastAsia" w:ascii="仿宋_GB2312" w:hAnsi="仿宋_GB2312" w:eastAsia="仿宋_GB2312" w:cs="仿宋_GB2312"/>
          <w:sz w:val="32"/>
          <w:szCs w:val="32"/>
          <w:lang w:val="en-US" w:eastAsia="zh-Hans"/>
        </w:rPr>
        <w:t>学习强国广东学习平台等</w:t>
      </w:r>
      <w:r>
        <w:rPr>
          <w:rFonts w:hint="eastAsia" w:ascii="仿宋_GB2312" w:hAnsi="仿宋_GB2312" w:eastAsia="仿宋_GB2312" w:cs="仿宋_GB2312"/>
          <w:sz w:val="32"/>
          <w:szCs w:val="32"/>
          <w:lang w:eastAsia="zh-Hans"/>
        </w:rPr>
        <w:t>各</w:t>
      </w:r>
      <w:r>
        <w:rPr>
          <w:rFonts w:hint="eastAsia" w:ascii="仿宋_GB2312" w:hAnsi="仿宋_GB2312" w:eastAsia="仿宋_GB2312" w:cs="仿宋_GB2312"/>
          <w:sz w:val="32"/>
          <w:szCs w:val="32"/>
          <w:lang w:val="en-US" w:eastAsia="zh-Hans"/>
        </w:rPr>
        <w:t>媒体平台</w:t>
      </w:r>
      <w:r>
        <w:rPr>
          <w:rFonts w:hint="eastAsia" w:ascii="仿宋_GB2312" w:hAnsi="仿宋_GB2312" w:eastAsia="仿宋_GB2312" w:cs="仿宋_GB2312"/>
          <w:sz w:val="32"/>
          <w:szCs w:val="32"/>
          <w:lang w:eastAsia="zh-Hans"/>
        </w:rPr>
        <w:t>，打造“方志广东”新媒体矩阵式发布渠道。</w:t>
      </w:r>
    </w:p>
    <w:p>
      <w:pPr>
        <w:pStyle w:val="4"/>
        <w:adjustRightInd w:val="0"/>
        <w:snapToGrid w:val="0"/>
        <w:spacing w:after="0" w:line="560" w:lineRule="exact"/>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提高“方志广东”品牌影响力。建立省、市、县方志系统联合发布机制，打通政务媒体跨界合作渠道，推动方志广东品牌影响力向广向深提升，拓展大众认识度，使方志文化、方志品牌深入人心。</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（三）团队要求</w:t>
      </w:r>
    </w:p>
    <w:p>
      <w:pPr>
        <w:adjustRightInd w:val="0"/>
        <w:snapToGrid w:val="0"/>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由1名核心</w:t>
      </w:r>
      <w:r>
        <w:rPr>
          <w:rFonts w:hint="eastAsia" w:ascii="仿宋_GB2312" w:hAnsi="仿宋_GB2312" w:eastAsia="仿宋_GB2312" w:cs="仿宋_GB2312"/>
          <w:sz w:val="32"/>
          <w:szCs w:val="32"/>
          <w:lang w:val="en-US" w:eastAsia="zh-Hans"/>
        </w:rPr>
        <w:t>负责人</w:t>
      </w:r>
      <w:r>
        <w:rPr>
          <w:rFonts w:hint="eastAsia" w:ascii="仿宋_GB2312" w:hAnsi="仿宋_GB2312" w:eastAsia="仿宋_GB2312" w:cs="仿宋_GB2312"/>
          <w:sz w:val="32"/>
          <w:szCs w:val="32"/>
          <w:lang w:eastAsia="zh-Hans"/>
        </w:rPr>
        <w:t>、1名经验丰富的驻点专职新媒体编辑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两年以上在该公司工作经验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及后方技术支持人员组成的成熟政务支持团队。</w:t>
      </w:r>
      <w:r>
        <w:rPr>
          <w:rFonts w:hint="eastAsia" w:ascii="仿宋_GB2312" w:hAnsi="仿宋_GB2312" w:eastAsia="仿宋_GB2312" w:cs="仿宋_GB2312"/>
          <w:sz w:val="32"/>
          <w:szCs w:val="32"/>
          <w:lang w:val="en-US" w:eastAsia="zh-Hans"/>
        </w:rPr>
        <w:t>切实落实网络安全保障机制，派出人员需为团队技术骨干，扎实做好人员网络安全培训，</w:t>
      </w:r>
      <w:r>
        <w:rPr>
          <w:rFonts w:hint="eastAsia" w:ascii="仿宋_GB2312" w:hAnsi="仿宋_GB2312" w:eastAsia="仿宋_GB2312" w:cs="仿宋_GB2312"/>
          <w:sz w:val="32"/>
          <w:szCs w:val="32"/>
          <w:lang w:eastAsia="zh-Hans"/>
        </w:rPr>
        <w:t>重点宣传内容经团队内审后，聘请1位文史专家审核，费用由服务提供方负责，预算费用约为项目总费用的9%。</w:t>
      </w:r>
    </w:p>
    <w:p>
      <w:pPr>
        <w:adjustRightInd w:val="0"/>
        <w:snapToGrid w:val="0"/>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提供以微信公众号为主的新媒体平台技术支持，包括但不限于微信公众号UI类设计、首页banner图设计、公众号内icon设计、文章内顶部和底部贴片设计等；线上活动等技术支持保障。</w:t>
      </w:r>
    </w:p>
    <w:p>
      <w:pPr>
        <w:adjustRightInd w:val="0"/>
        <w:snapToGrid w:val="0"/>
        <w:spacing w:line="300" w:lineRule="exact"/>
        <w:ind w:firstLine="480" w:firstLineChars="200"/>
        <w:jc w:val="center"/>
        <w:rPr>
          <w:rFonts w:hint="eastAsia" w:ascii="微软雅黑" w:hAnsi="微软雅黑" w:eastAsia="微软雅黑" w:cs="仿宋_GB2312"/>
          <w:sz w:val="24"/>
        </w:rPr>
      </w:pPr>
    </w:p>
    <w:p>
      <w:pPr>
        <w:adjustRightInd w:val="0"/>
        <w:snapToGrid w:val="0"/>
        <w:spacing w:line="300" w:lineRule="exact"/>
        <w:ind w:firstLine="480" w:firstLineChars="200"/>
        <w:jc w:val="center"/>
        <w:rPr>
          <w:rFonts w:hint="eastAsia" w:ascii="微软雅黑" w:hAnsi="微软雅黑" w:eastAsia="微软雅黑" w:cs="仿宋_GB2312"/>
          <w:sz w:val="24"/>
        </w:rPr>
      </w:pPr>
    </w:p>
    <w:p>
      <w:pPr>
        <w:adjustRightInd w:val="0"/>
        <w:snapToGrid w:val="0"/>
        <w:spacing w:line="300" w:lineRule="exact"/>
        <w:ind w:firstLine="3640" w:firstLineChars="1300"/>
        <w:rPr>
          <w:rFonts w:hint="eastAsia" w:ascii="黑体" w:hAnsi="黑体" w:eastAsia="黑体" w:cs="黑体"/>
          <w:sz w:val="28"/>
          <w:szCs w:val="28"/>
        </w:rPr>
      </w:pPr>
      <w:r>
        <w:rPr>
          <w:rFonts w:hint="eastAsia" w:ascii="黑体" w:hAnsi="黑体" w:eastAsia="黑体" w:cs="黑体"/>
          <w:sz w:val="28"/>
          <w:szCs w:val="28"/>
        </w:rPr>
        <w:t>项目主要内容</w:t>
      </w: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585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微软雅黑" w:hAnsi="微软雅黑" w:eastAsia="微软雅黑" w:cs="仿宋"/>
                <w:b/>
                <w:sz w:val="18"/>
                <w:szCs w:val="18"/>
              </w:rPr>
            </w:pPr>
            <w:r>
              <w:rPr>
                <w:rFonts w:hint="eastAsia" w:ascii="微软雅黑" w:hAnsi="微软雅黑" w:eastAsia="微软雅黑" w:cs="仿宋"/>
                <w:b/>
                <w:sz w:val="18"/>
                <w:szCs w:val="18"/>
              </w:rPr>
              <w:t>项目</w:t>
            </w:r>
          </w:p>
        </w:tc>
        <w:tc>
          <w:tcPr>
            <w:tcW w:w="5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微软雅黑" w:hAnsi="微软雅黑" w:eastAsia="微软雅黑" w:cs="仿宋"/>
                <w:b/>
                <w:sz w:val="18"/>
                <w:szCs w:val="18"/>
              </w:rPr>
            </w:pPr>
            <w:r>
              <w:rPr>
                <w:rFonts w:hint="eastAsia" w:ascii="微软雅黑" w:hAnsi="微软雅黑" w:eastAsia="微软雅黑" w:cs="仿宋"/>
                <w:b/>
                <w:sz w:val="18"/>
                <w:szCs w:val="18"/>
              </w:rPr>
              <w:t>服务内容</w:t>
            </w:r>
          </w:p>
        </w:tc>
        <w:tc>
          <w:tcPr>
            <w:tcW w:w="1219"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300" w:lineRule="exact"/>
              <w:jc w:val="center"/>
              <w:rPr>
                <w:rFonts w:hint="eastAsia" w:ascii="微软雅黑" w:hAnsi="微软雅黑" w:eastAsia="微软雅黑" w:cs="仿宋"/>
                <w:b/>
                <w:sz w:val="18"/>
                <w:szCs w:val="18"/>
              </w:rPr>
            </w:pPr>
            <w:r>
              <w:rPr>
                <w:rFonts w:hint="eastAsia" w:ascii="微软雅黑" w:hAnsi="微软雅黑" w:eastAsia="微软雅黑" w:cs="仿宋"/>
                <w:b/>
                <w:sz w:val="18"/>
                <w:szCs w:val="18"/>
              </w:rPr>
              <w:t>次数/时间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微软雅黑" w:hAnsi="微软雅黑" w:eastAsia="微软雅黑" w:cs="仿宋"/>
                <w:sz w:val="18"/>
                <w:szCs w:val="18"/>
              </w:rPr>
            </w:pPr>
            <w:r>
              <w:rPr>
                <w:rFonts w:hint="eastAsia" w:ascii="微软雅黑" w:hAnsi="微软雅黑" w:eastAsia="微软雅黑" w:cs="仿宋"/>
                <w:sz w:val="18"/>
                <w:szCs w:val="18"/>
              </w:rPr>
              <w:t>方志广东系列专题全年常规性宣传</w:t>
            </w:r>
          </w:p>
        </w:tc>
        <w:tc>
          <w:tcPr>
            <w:tcW w:w="5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投入1名核心</w:t>
            </w:r>
            <w:r>
              <w:rPr>
                <w:rFonts w:hint="eastAsia" w:ascii="微软雅黑" w:hAnsi="微软雅黑" w:eastAsia="微软雅黑" w:cs="仿宋"/>
                <w:sz w:val="18"/>
                <w:szCs w:val="18"/>
                <w:lang w:val="en-US" w:eastAsia="zh-Hans"/>
              </w:rPr>
              <w:t>负责人</w:t>
            </w:r>
            <w:r>
              <w:rPr>
                <w:rFonts w:hint="eastAsia" w:ascii="微软雅黑" w:hAnsi="微软雅黑" w:eastAsia="微软雅黑" w:cs="仿宋"/>
                <w:sz w:val="18"/>
                <w:szCs w:val="18"/>
              </w:rPr>
              <w:t>、1名经验丰富的驻点专职新媒体编辑、1个成熟政务支持团队，主要负责：</w:t>
            </w:r>
          </w:p>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1.政务新媒体规范</w:t>
            </w:r>
            <w:r>
              <w:rPr>
                <w:rFonts w:hint="eastAsia" w:ascii="微软雅黑" w:hAnsi="微软雅黑" w:eastAsia="微软雅黑" w:cs="仿宋"/>
                <w:sz w:val="18"/>
                <w:szCs w:val="18"/>
                <w:lang w:val="en-US" w:eastAsia="zh-CN"/>
              </w:rPr>
              <w:t>建设</w:t>
            </w:r>
            <w:r>
              <w:rPr>
                <w:rFonts w:hint="eastAsia" w:ascii="微软雅黑" w:hAnsi="微软雅黑" w:eastAsia="微软雅黑" w:cs="仿宋"/>
                <w:sz w:val="18"/>
                <w:szCs w:val="18"/>
              </w:rPr>
              <w:t>；</w:t>
            </w:r>
          </w:p>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2.“方志广东”微信内容编辑美化以及推送，新增</w:t>
            </w:r>
            <w:r>
              <w:rPr>
                <w:rFonts w:hint="eastAsia" w:ascii="微软雅黑" w:hAnsi="微软雅黑" w:eastAsia="微软雅黑" w:cs="仿宋"/>
                <w:sz w:val="18"/>
                <w:szCs w:val="18"/>
                <w:lang w:val="en-US" w:eastAsia="zh-CN"/>
              </w:rPr>
              <w:t>原创</w:t>
            </w:r>
            <w:r>
              <w:rPr>
                <w:rFonts w:hint="eastAsia" w:ascii="微软雅黑" w:hAnsi="微软雅黑" w:eastAsia="微软雅黑" w:cs="仿宋"/>
                <w:sz w:val="18"/>
                <w:szCs w:val="18"/>
              </w:rPr>
              <w:t>专题栏目</w:t>
            </w:r>
            <w:r>
              <w:rPr>
                <w:rFonts w:hint="eastAsia" w:ascii="微软雅黑" w:hAnsi="微软雅黑" w:eastAsia="微软雅黑" w:cs="仿宋"/>
                <w:sz w:val="18"/>
                <w:szCs w:val="18"/>
                <w:lang w:val="en-US" w:eastAsia="zh-CN"/>
              </w:rPr>
              <w:t>3</w:t>
            </w:r>
            <w:r>
              <w:rPr>
                <w:rFonts w:hint="eastAsia" w:ascii="微软雅黑" w:hAnsi="微软雅黑" w:eastAsia="微软雅黑" w:cs="仿宋"/>
                <w:sz w:val="18"/>
                <w:szCs w:val="18"/>
              </w:rPr>
              <w:t>个；原创文章不少于</w:t>
            </w:r>
            <w:r>
              <w:rPr>
                <w:rFonts w:hint="eastAsia" w:ascii="微软雅黑" w:hAnsi="微软雅黑" w:eastAsia="微软雅黑" w:cs="仿宋"/>
                <w:sz w:val="18"/>
                <w:szCs w:val="18"/>
                <w:lang w:val="en-US" w:eastAsia="zh-CN"/>
              </w:rPr>
              <w:t>30</w:t>
            </w:r>
            <w:r>
              <w:rPr>
                <w:rFonts w:hint="eastAsia" w:ascii="微软雅黑" w:hAnsi="微软雅黑" w:eastAsia="微软雅黑" w:cs="仿宋"/>
                <w:sz w:val="18"/>
                <w:szCs w:val="18"/>
              </w:rPr>
              <w:t>篇；</w:t>
            </w:r>
          </w:p>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3.包含活动预热、主题宣传、活动总结等微信软文，日常评论回复互动等;</w:t>
            </w:r>
          </w:p>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4.新媒体生态圈内容分发，将内容分发到</w:t>
            </w:r>
            <w:r>
              <w:rPr>
                <w:rFonts w:hint="eastAsia" w:ascii="微软雅黑" w:hAnsi="微软雅黑" w:eastAsia="微软雅黑" w:cs="仿宋"/>
                <w:sz w:val="18"/>
                <w:szCs w:val="18"/>
                <w:lang w:val="en-US" w:eastAsia="zh-CN"/>
              </w:rPr>
              <w:t>相关</w:t>
            </w:r>
            <w:r>
              <w:rPr>
                <w:rFonts w:hint="eastAsia" w:ascii="微软雅黑" w:hAnsi="微软雅黑" w:eastAsia="微软雅黑" w:cs="仿宋"/>
                <w:sz w:val="18"/>
                <w:szCs w:val="18"/>
              </w:rPr>
              <w:t>新媒体渠道;</w:t>
            </w:r>
          </w:p>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5.学习强国广东学习</w:t>
            </w:r>
            <w:r>
              <w:rPr>
                <w:rFonts w:hint="eastAsia" w:ascii="微软雅黑" w:hAnsi="微软雅黑" w:eastAsia="微软雅黑" w:cs="仿宋"/>
                <w:spacing w:val="0"/>
                <w:sz w:val="18"/>
                <w:szCs w:val="18"/>
              </w:rPr>
              <w:t>平台【方志广东】专栏</w:t>
            </w:r>
            <w:r>
              <w:rPr>
                <w:rFonts w:hint="eastAsia" w:ascii="微软雅黑" w:hAnsi="微软雅黑" w:eastAsia="微软雅黑" w:cs="仿宋"/>
                <w:sz w:val="18"/>
                <w:szCs w:val="18"/>
              </w:rPr>
              <w:t>日常发布;</w:t>
            </w:r>
          </w:p>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6.其他新媒体平台打造;</w:t>
            </w:r>
          </w:p>
          <w:p>
            <w:pPr>
              <w:adjustRightInd w:val="0"/>
              <w:snapToGrid w:val="0"/>
              <w:spacing w:line="300" w:lineRule="exact"/>
              <w:jc w:val="left"/>
              <w:rPr>
                <w:rFonts w:hint="eastAsia" w:ascii="微软雅黑" w:hAnsi="微软雅黑" w:eastAsia="微软雅黑" w:cs="仿宋"/>
                <w:sz w:val="18"/>
                <w:szCs w:val="18"/>
              </w:rPr>
            </w:pPr>
            <w:r>
              <w:rPr>
                <w:rFonts w:hint="eastAsia" w:ascii="微软雅黑" w:hAnsi="微软雅黑" w:eastAsia="微软雅黑" w:cs="仿宋"/>
                <w:sz w:val="18"/>
                <w:szCs w:val="18"/>
              </w:rPr>
              <w:t>7.配合业主活动互动。如遇突发事件，团队需无条件随时协助配合。</w:t>
            </w:r>
          </w:p>
        </w:tc>
        <w:tc>
          <w:tcPr>
            <w:tcW w:w="12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ascii="微软雅黑" w:hAnsi="微软雅黑" w:eastAsia="微软雅黑" w:cs="仿宋"/>
                <w:bCs/>
                <w:sz w:val="18"/>
                <w:szCs w:val="18"/>
              </w:rPr>
            </w:pPr>
            <w:r>
              <w:rPr>
                <w:rFonts w:hint="eastAsia" w:ascii="微软雅黑" w:hAnsi="微软雅黑" w:eastAsia="微软雅黑" w:cs="仿宋"/>
                <w:bCs/>
                <w:sz w:val="18"/>
                <w:szCs w:val="18"/>
                <w:lang w:val="zh-CN"/>
              </w:rPr>
              <w:t>每</w:t>
            </w:r>
            <w:r>
              <w:rPr>
                <w:rFonts w:hint="eastAsia" w:ascii="微软雅黑" w:hAnsi="微软雅黑" w:eastAsia="微软雅黑" w:cs="仿宋"/>
                <w:bCs/>
                <w:sz w:val="18"/>
                <w:szCs w:val="18"/>
              </w:rPr>
              <w:t>周</w:t>
            </w:r>
            <w:r>
              <w:rPr>
                <w:rFonts w:hint="eastAsia" w:ascii="微软雅黑" w:hAnsi="微软雅黑" w:eastAsia="微软雅黑" w:cs="仿宋"/>
                <w:bCs/>
                <w:sz w:val="18"/>
                <w:szCs w:val="18"/>
                <w:lang w:val="zh-CN"/>
              </w:rPr>
              <w:t>推送不少于</w:t>
            </w:r>
            <w:r>
              <w:rPr>
                <w:rFonts w:hint="eastAsia" w:ascii="微软雅黑" w:hAnsi="微软雅黑" w:eastAsia="微软雅黑" w:cs="仿宋"/>
                <w:bCs/>
                <w:sz w:val="18"/>
                <w:szCs w:val="18"/>
              </w:rPr>
              <w:t>4次，根据实际情况调整。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微软雅黑" w:hAnsi="微软雅黑" w:eastAsia="微软雅黑" w:cs="仿宋"/>
                <w:sz w:val="18"/>
                <w:szCs w:val="18"/>
              </w:rPr>
            </w:pPr>
            <w:r>
              <w:rPr>
                <w:rFonts w:hint="eastAsia" w:ascii="微软雅黑" w:hAnsi="微软雅黑" w:eastAsia="微软雅黑" w:cs="仿宋"/>
                <w:sz w:val="18"/>
                <w:szCs w:val="18"/>
              </w:rPr>
              <w:t>专题策划</w:t>
            </w:r>
          </w:p>
        </w:tc>
        <w:tc>
          <w:tcPr>
            <w:tcW w:w="5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hint="eastAsia" w:ascii="微软雅黑" w:hAnsi="微软雅黑" w:eastAsia="微软雅黑" w:cs="仿宋"/>
                <w:sz w:val="18"/>
                <w:szCs w:val="18"/>
              </w:rPr>
            </w:pPr>
            <w:r>
              <w:rPr>
                <w:rFonts w:hint="eastAsia" w:ascii="微软雅黑" w:hAnsi="微软雅黑" w:eastAsia="微软雅黑" w:cs="仿宋"/>
                <w:sz w:val="18"/>
                <w:szCs w:val="18"/>
              </w:rPr>
              <w:t>根据省地方志重点活动内容制作</w:t>
            </w:r>
            <w:r>
              <w:rPr>
                <w:rFonts w:hint="eastAsia" w:ascii="微软雅黑" w:hAnsi="微软雅黑" w:eastAsia="微软雅黑" w:cs="仿宋"/>
                <w:sz w:val="18"/>
                <w:szCs w:val="18"/>
                <w:lang w:val="en-US" w:eastAsia="zh-CN"/>
              </w:rPr>
              <w:t>4</w:t>
            </w:r>
            <w:r>
              <w:rPr>
                <w:rFonts w:hint="eastAsia" w:ascii="微软雅黑" w:hAnsi="微软雅黑" w:eastAsia="微软雅黑" w:cs="仿宋"/>
                <w:sz w:val="18"/>
                <w:szCs w:val="18"/>
              </w:rPr>
              <w:t>期</w:t>
            </w:r>
            <w:r>
              <w:rPr>
                <w:rFonts w:hint="eastAsia" w:ascii="微软雅黑" w:hAnsi="微软雅黑" w:eastAsia="微软雅黑" w:cs="仿宋"/>
                <w:sz w:val="18"/>
                <w:szCs w:val="18"/>
                <w:lang w:val="en-US" w:eastAsia="zh-CN"/>
              </w:rPr>
              <w:t>创新</w:t>
            </w:r>
            <w:r>
              <w:rPr>
                <w:rFonts w:hint="eastAsia" w:ascii="微软雅黑" w:hAnsi="微软雅黑" w:eastAsia="微软雅黑" w:cs="仿宋"/>
                <w:sz w:val="18"/>
                <w:szCs w:val="18"/>
              </w:rPr>
              <w:t>策划（含1个互动</w:t>
            </w:r>
            <w:r>
              <w:rPr>
                <w:rFonts w:hint="eastAsia" w:ascii="微软雅黑" w:hAnsi="微软雅黑" w:eastAsia="微软雅黑" w:cs="仿宋"/>
                <w:sz w:val="18"/>
                <w:szCs w:val="18"/>
                <w:lang w:eastAsia="zh-Hans"/>
              </w:rPr>
              <w:t>类H5</w:t>
            </w:r>
            <w:r>
              <w:rPr>
                <w:rFonts w:hint="eastAsia" w:ascii="微软雅黑" w:hAnsi="微软雅黑" w:eastAsia="微软雅黑" w:cs="仿宋"/>
                <w:sz w:val="18"/>
                <w:szCs w:val="18"/>
              </w:rPr>
              <w:t>、2期vlog</w:t>
            </w:r>
            <w:r>
              <w:rPr>
                <w:rFonts w:hint="eastAsia" w:ascii="微软雅黑" w:hAnsi="微软雅黑" w:eastAsia="微软雅黑" w:cs="仿宋"/>
                <w:sz w:val="18"/>
                <w:szCs w:val="18"/>
                <w:lang w:eastAsia="zh-CN"/>
              </w:rPr>
              <w:t>、</w:t>
            </w:r>
            <w:r>
              <w:rPr>
                <w:rFonts w:hint="eastAsia" w:ascii="微软雅黑" w:hAnsi="微软雅黑" w:eastAsia="微软雅黑" w:cs="仿宋"/>
                <w:sz w:val="18"/>
                <w:szCs w:val="18"/>
              </w:rPr>
              <w:t>重点节点宣传海报或</w:t>
            </w:r>
            <w:r>
              <w:rPr>
                <w:rFonts w:hint="default" w:ascii="微软雅黑" w:hAnsi="微软雅黑" w:eastAsia="微软雅黑" w:cs="仿宋"/>
                <w:sz w:val="18"/>
                <w:szCs w:val="18"/>
                <w:lang w:eastAsia="zh-Hans"/>
              </w:rPr>
              <w:t>SVG</w:t>
            </w:r>
            <w:r>
              <w:rPr>
                <w:rFonts w:hint="eastAsia" w:ascii="微软雅黑" w:hAnsi="微软雅黑" w:eastAsia="微软雅黑" w:cs="仿宋"/>
                <w:sz w:val="18"/>
                <w:szCs w:val="18"/>
                <w:lang w:val="en-US" w:eastAsia="zh-Hans"/>
              </w:rPr>
              <w:t>图文</w:t>
            </w:r>
            <w:r>
              <w:rPr>
                <w:rFonts w:hint="eastAsia" w:ascii="微软雅黑" w:hAnsi="微软雅黑" w:eastAsia="微软雅黑" w:cs="仿宋"/>
                <w:sz w:val="18"/>
                <w:szCs w:val="18"/>
              </w:rPr>
              <w:t>不少于</w:t>
            </w:r>
            <w:r>
              <w:rPr>
                <w:rFonts w:hint="eastAsia" w:ascii="微软雅黑" w:hAnsi="微软雅黑" w:eastAsia="微软雅黑" w:cs="仿宋"/>
                <w:sz w:val="18"/>
                <w:szCs w:val="18"/>
                <w:lang w:val="en-US" w:eastAsia="zh-CN"/>
              </w:rPr>
              <w:t>1</w:t>
            </w:r>
            <w:r>
              <w:rPr>
                <w:rFonts w:hint="eastAsia" w:ascii="微软雅黑" w:hAnsi="微软雅黑" w:eastAsia="微软雅黑" w:cs="仿宋"/>
                <w:sz w:val="18"/>
                <w:szCs w:val="18"/>
              </w:rPr>
              <w:t>个</w:t>
            </w:r>
            <w:r>
              <w:rPr>
                <w:rFonts w:hint="eastAsia" w:ascii="微软雅黑" w:hAnsi="微软雅黑" w:eastAsia="微软雅黑" w:cs="仿宋"/>
                <w:sz w:val="18"/>
                <w:szCs w:val="18"/>
                <w:lang w:eastAsia="zh-CN"/>
              </w:rPr>
              <w:t>）</w:t>
            </w:r>
            <w:r>
              <w:rPr>
                <w:rFonts w:hint="eastAsia" w:ascii="微软雅黑" w:hAnsi="微软雅黑" w:eastAsia="微软雅黑" w:cs="仿宋"/>
                <w:sz w:val="18"/>
                <w:szCs w:val="18"/>
              </w:rPr>
              <w:t>。</w:t>
            </w:r>
          </w:p>
        </w:tc>
        <w:tc>
          <w:tcPr>
            <w:tcW w:w="12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微软雅黑" w:hAnsi="微软雅黑" w:eastAsia="微软雅黑" w:cs="仿宋"/>
                <w:sz w:val="18"/>
                <w:szCs w:val="18"/>
              </w:rPr>
            </w:pPr>
            <w:r>
              <w:rPr>
                <w:rFonts w:hint="eastAsia" w:ascii="微软雅黑" w:hAnsi="微软雅黑" w:eastAsia="微软雅黑" w:cs="仿宋"/>
                <w:sz w:val="18"/>
                <w:szCs w:val="18"/>
                <w:lang w:val="en-US" w:eastAsia="zh-CN"/>
              </w:rPr>
              <w:t>4</w:t>
            </w:r>
            <w:r>
              <w:rPr>
                <w:rFonts w:hint="eastAsia" w:ascii="微软雅黑" w:hAnsi="微软雅黑" w:eastAsia="微软雅黑" w:cs="仿宋"/>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微软雅黑" w:hAnsi="微软雅黑" w:eastAsia="微软雅黑"/>
                <w:sz w:val="18"/>
                <w:szCs w:val="18"/>
              </w:rPr>
            </w:pPr>
            <w:r>
              <w:rPr>
                <w:rFonts w:hint="eastAsia" w:ascii="微软雅黑" w:hAnsi="微软雅黑" w:eastAsia="微软雅黑"/>
                <w:sz w:val="18"/>
                <w:szCs w:val="18"/>
              </w:rPr>
              <w:t>宣传推广</w:t>
            </w:r>
          </w:p>
        </w:tc>
        <w:tc>
          <w:tcPr>
            <w:tcW w:w="5857" w:type="dxa"/>
            <w:tcBorders>
              <w:top w:val="single" w:color="auto" w:sz="4" w:space="0"/>
              <w:left w:val="single" w:color="auto" w:sz="4" w:space="0"/>
              <w:bottom w:val="single" w:color="auto" w:sz="4" w:space="0"/>
              <w:right w:val="single" w:color="auto" w:sz="4" w:space="0"/>
            </w:tcBorders>
            <w:vAlign w:val="center"/>
          </w:tcPr>
          <w:p>
            <w:pPr>
              <w:numPr>
                <w:ilvl w:val="-1"/>
                <w:numId w:val="0"/>
              </w:numPr>
              <w:adjustRightInd w:val="0"/>
              <w:snapToGrid w:val="0"/>
              <w:spacing w:line="300" w:lineRule="exact"/>
              <w:rPr>
                <w:rFonts w:hint="eastAsia" w:ascii="微软雅黑" w:hAnsi="微软雅黑" w:eastAsia="微软雅黑" w:cs="仿宋"/>
                <w:sz w:val="18"/>
                <w:szCs w:val="18"/>
              </w:rPr>
            </w:pPr>
            <w:r>
              <w:rPr>
                <w:rFonts w:hint="eastAsia" w:ascii="微软雅黑" w:hAnsi="微软雅黑" w:eastAsia="微软雅黑" w:cs="仿宋"/>
                <w:sz w:val="18"/>
                <w:szCs w:val="18"/>
                <w:lang w:val="en-US" w:eastAsia="zh-CN"/>
              </w:rPr>
              <w:t>1.</w:t>
            </w:r>
            <w:r>
              <w:rPr>
                <w:rFonts w:hint="eastAsia" w:ascii="微软雅黑" w:hAnsi="微软雅黑" w:eastAsia="微软雅黑" w:cs="仿宋"/>
                <w:sz w:val="18"/>
                <w:szCs w:val="18"/>
              </w:rPr>
              <w:t>根据重点策划内容投放微信朋友圈广告</w:t>
            </w:r>
            <w:r>
              <w:rPr>
                <w:rFonts w:hint="eastAsia" w:ascii="微软雅黑" w:hAnsi="微软雅黑" w:eastAsia="微软雅黑" w:cs="仿宋"/>
                <w:sz w:val="18"/>
                <w:szCs w:val="18"/>
                <w:lang w:val="en-US" w:eastAsia="zh-CN"/>
              </w:rPr>
              <w:t>等</w:t>
            </w:r>
            <w:r>
              <w:rPr>
                <w:rFonts w:hint="eastAsia" w:ascii="微软雅黑" w:hAnsi="微软雅黑" w:eastAsia="微软雅黑" w:cs="仿宋"/>
                <w:sz w:val="18"/>
                <w:szCs w:val="18"/>
              </w:rPr>
              <w:t>（</w:t>
            </w:r>
            <w:r>
              <w:rPr>
                <w:rFonts w:hint="eastAsia" w:ascii="微软雅黑" w:hAnsi="微软雅黑" w:eastAsia="微软雅黑" w:cs="仿宋"/>
                <w:sz w:val="18"/>
                <w:szCs w:val="18"/>
                <w:lang w:val="en-US" w:eastAsia="zh-CN"/>
              </w:rPr>
              <w:t>15</w:t>
            </w:r>
            <w:r>
              <w:rPr>
                <w:rFonts w:hint="eastAsia" w:ascii="微软雅黑" w:hAnsi="微软雅黑" w:eastAsia="微软雅黑" w:cs="仿宋"/>
                <w:sz w:val="18"/>
                <w:szCs w:val="18"/>
              </w:rPr>
              <w:t>万曝光）。</w:t>
            </w:r>
          </w:p>
          <w:p>
            <w:pPr>
              <w:numPr>
                <w:ilvl w:val="-1"/>
                <w:numId w:val="0"/>
              </w:numPr>
              <w:adjustRightInd w:val="0"/>
              <w:snapToGrid w:val="0"/>
              <w:spacing w:line="300" w:lineRule="exact"/>
              <w:rPr>
                <w:rFonts w:hint="eastAsia" w:ascii="微软雅黑" w:hAnsi="微软雅黑" w:eastAsia="微软雅黑" w:cs="仿宋"/>
                <w:sz w:val="18"/>
                <w:szCs w:val="18"/>
              </w:rPr>
            </w:pPr>
            <w:r>
              <w:rPr>
                <w:rFonts w:hint="eastAsia" w:ascii="微软雅黑" w:hAnsi="微软雅黑" w:eastAsia="微软雅黑" w:cs="仿宋"/>
                <w:sz w:val="18"/>
                <w:szCs w:val="18"/>
                <w:lang w:val="en-US" w:eastAsia="zh-CN"/>
              </w:rPr>
              <w:t>2.</w:t>
            </w:r>
            <w:r>
              <w:rPr>
                <w:rFonts w:hint="eastAsia" w:ascii="微软雅黑" w:hAnsi="微软雅黑" w:eastAsia="微软雅黑" w:cs="仿宋"/>
                <w:sz w:val="18"/>
                <w:szCs w:val="18"/>
              </w:rPr>
              <w:t>根据省地方志提供的新闻素材稿件，推荐至主流新媒体</w:t>
            </w:r>
            <w:r>
              <w:rPr>
                <w:rFonts w:hint="eastAsia" w:ascii="微软雅黑" w:hAnsi="微软雅黑" w:eastAsia="微软雅黑" w:cs="仿宋"/>
                <w:sz w:val="18"/>
                <w:szCs w:val="18"/>
                <w:lang w:val="zh-CN"/>
              </w:rPr>
              <w:t>平台。</w:t>
            </w:r>
            <w:r>
              <w:rPr>
                <w:rFonts w:hint="eastAsia" w:ascii="微软雅黑" w:hAnsi="微软雅黑" w:eastAsia="微软雅黑" w:cs="仿宋"/>
                <w:sz w:val="18"/>
                <w:szCs w:val="18"/>
              </w:rPr>
              <w:t xml:space="preserve">   </w:t>
            </w:r>
          </w:p>
          <w:p>
            <w:pPr>
              <w:numPr>
                <w:ilvl w:val="-1"/>
                <w:numId w:val="0"/>
              </w:numPr>
              <w:adjustRightInd w:val="0"/>
              <w:snapToGrid w:val="0"/>
              <w:spacing w:line="300" w:lineRule="exact"/>
              <w:rPr>
                <w:rFonts w:hint="eastAsia" w:ascii="微软雅黑" w:hAnsi="微软雅黑" w:eastAsia="微软雅黑" w:cs="仿宋"/>
                <w:sz w:val="18"/>
                <w:szCs w:val="18"/>
              </w:rPr>
            </w:pPr>
            <w:r>
              <w:rPr>
                <w:rFonts w:hint="eastAsia" w:ascii="微软雅黑" w:hAnsi="微软雅黑" w:eastAsia="微软雅黑" w:cs="仿宋"/>
                <w:sz w:val="18"/>
                <w:szCs w:val="18"/>
                <w:lang w:val="en-US" w:eastAsia="zh-CN"/>
              </w:rPr>
              <w:t>3.与相关省直单位新媒体开展互动合作。</w:t>
            </w:r>
            <w:r>
              <w:rPr>
                <w:rFonts w:hint="eastAsia" w:ascii="微软雅黑" w:hAnsi="微软雅黑" w:eastAsia="微软雅黑" w:cs="仿宋"/>
                <w:sz w:val="18"/>
                <w:szCs w:val="18"/>
              </w:rPr>
              <w:t xml:space="preserve">      </w:t>
            </w:r>
          </w:p>
        </w:tc>
        <w:tc>
          <w:tcPr>
            <w:tcW w:w="12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微软雅黑" w:hAnsi="微软雅黑" w:eastAsia="微软雅黑" w:cs="仿宋"/>
                <w:sz w:val="18"/>
                <w:szCs w:val="18"/>
              </w:rPr>
            </w:pPr>
            <w:r>
              <w:rPr>
                <w:rFonts w:hint="eastAsia" w:ascii="微软雅黑" w:hAnsi="微软雅黑" w:eastAsia="微软雅黑" w:cs="仿宋"/>
                <w:sz w:val="18"/>
                <w:szCs w:val="18"/>
                <w:lang w:val="en-US" w:eastAsia="zh-CN"/>
              </w:rPr>
              <w:t>9</w:t>
            </w:r>
            <w:r>
              <w:rPr>
                <w:rFonts w:hint="eastAsia" w:ascii="微软雅黑" w:hAnsi="微软雅黑" w:eastAsia="微软雅黑" w:cs="仿宋"/>
                <w:sz w:val="18"/>
                <w:szCs w:val="18"/>
              </w:rPr>
              <w:t>个月</w:t>
            </w:r>
          </w:p>
        </w:tc>
      </w:tr>
    </w:tbl>
    <w:p/>
    <w:p>
      <w:pPr>
        <w:adjustRightInd w:val="0"/>
        <w:snapToGrid w:val="0"/>
        <w:spacing w:line="276" w:lineRule="auto"/>
        <w:ind w:firstLine="640" w:firstLineChars="200"/>
      </w:pPr>
      <w:r>
        <w:rPr>
          <w:rFonts w:hint="eastAsia" w:ascii="黑体" w:hAnsi="黑体" w:eastAsia="黑体" w:cs="黑体"/>
          <w:sz w:val="32"/>
          <w:szCs w:val="32"/>
          <w:lang w:val="en-US" w:eastAsia="zh-CN"/>
        </w:rPr>
        <w:t>三、项目评分</w:t>
      </w:r>
    </w:p>
    <w:p/>
    <w:p>
      <w:pPr>
        <w:adjustRightInd w:val="0"/>
        <w:snapToGrid w:val="0"/>
        <w:spacing w:line="276" w:lineRule="auto"/>
        <w:rPr>
          <w:rFonts w:hint="eastAsia" w:ascii="楷体" w:hAnsi="楷体" w:eastAsia="楷体" w:cs="楷体"/>
          <w:sz w:val="32"/>
          <w:szCs w:val="32"/>
        </w:rPr>
      </w:pPr>
      <w:r>
        <w:rPr>
          <w:rFonts w:hint="eastAsia" w:ascii="楷体" w:hAnsi="楷体" w:eastAsia="楷体" w:cs="楷体"/>
          <w:b/>
          <w:sz w:val="32"/>
          <w:szCs w:val="32"/>
        </w:rPr>
        <w:t>（一）技术商务评分：</w:t>
      </w:r>
    </w:p>
    <w:p>
      <w:pPr>
        <w:adjustRightInd w:val="0"/>
        <w:snapToGrid w:val="0"/>
        <w:spacing w:line="276" w:lineRule="auto"/>
        <w:jc w:val="center"/>
        <w:rPr>
          <w:rFonts w:ascii="微软雅黑" w:hAnsi="微软雅黑" w:eastAsia="微软雅黑"/>
          <w:b/>
          <w:sz w:val="24"/>
        </w:rPr>
      </w:pPr>
      <w:r>
        <w:rPr>
          <w:rFonts w:hint="eastAsia" w:ascii="微软雅黑" w:hAnsi="微软雅黑" w:eastAsia="微软雅黑"/>
          <w:b/>
          <w:sz w:val="24"/>
        </w:rPr>
        <w:t>技术商务评分表</w:t>
      </w:r>
    </w:p>
    <w:tbl>
      <w:tblPr>
        <w:tblStyle w:val="5"/>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93"/>
        <w:gridCol w:w="509"/>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序号</w:t>
            </w:r>
          </w:p>
        </w:tc>
        <w:tc>
          <w:tcPr>
            <w:tcW w:w="1793"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评审分项</w:t>
            </w:r>
          </w:p>
        </w:tc>
        <w:tc>
          <w:tcPr>
            <w:tcW w:w="509"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分值</w:t>
            </w:r>
          </w:p>
        </w:tc>
        <w:tc>
          <w:tcPr>
            <w:tcW w:w="6153"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1</w:t>
            </w:r>
          </w:p>
        </w:tc>
        <w:tc>
          <w:tcPr>
            <w:tcW w:w="1793"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项目实施方案（包括总体方案及各阶段实施细则，从方案的合理性、整体性、可行性等方面比较）</w:t>
            </w:r>
          </w:p>
        </w:tc>
        <w:tc>
          <w:tcPr>
            <w:tcW w:w="509"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15</w:t>
            </w:r>
          </w:p>
        </w:tc>
        <w:tc>
          <w:tcPr>
            <w:tcW w:w="6153" w:type="dxa"/>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方案思路清晰，人员结构合理，工作内容切实可行，得15分；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方案思路较清晰，人员结构较合理，工作内容可行性较好，得10分；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方案思路不够清晰，人员结构较合理，工作内容可行性一般，得5分；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方案思路混乱，人员结构不合理，工作内容可行性较差，得0分。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2</w:t>
            </w:r>
          </w:p>
        </w:tc>
        <w:tc>
          <w:tcPr>
            <w:tcW w:w="1793"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推广方案</w:t>
            </w:r>
          </w:p>
        </w:tc>
        <w:tc>
          <w:tcPr>
            <w:tcW w:w="509"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15</w:t>
            </w:r>
          </w:p>
        </w:tc>
        <w:tc>
          <w:tcPr>
            <w:tcW w:w="6153" w:type="dxa"/>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根据各投标人提供的推广方案，具有可行性、针对性、全面性、覆盖面广，推广策划团队力量充足；推广思路清晰、推广策略最优。能最大效果对项目成果进行传播展示得15分；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根据各投标人提供的推广方案，基本满足项目要求，推广方案基本可行、针对性一般、覆盖面一般，推广策划团队力量基本充足；推广思路基本清晰、推广策略基本可行得 10分；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根据各投标人提供的推广方案，推广方案差、无针对性、无覆盖面，推广策划团队力量差；推广思路差、推广策略差得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3</w:t>
            </w:r>
          </w:p>
        </w:tc>
        <w:tc>
          <w:tcPr>
            <w:tcW w:w="1793"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服务承诺及技术保证</w:t>
            </w:r>
          </w:p>
        </w:tc>
        <w:tc>
          <w:tcPr>
            <w:tcW w:w="509"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10</w:t>
            </w:r>
          </w:p>
        </w:tc>
        <w:tc>
          <w:tcPr>
            <w:tcW w:w="6153" w:type="dxa"/>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对投标人的服务承诺及技术保障措施，满足专人负责、及时跟踪服务、及时有效沟通等要求进行综合评审：</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（1）服务承诺及技术保证全面，宣传覆盖面广，可行性强，满足各项要求，10分；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（2）服务承诺及技术保证较全面，宣传覆盖面较广，可行性较强，较满足各项要求，6分；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（3）服务承诺及技术保证一般，宣传覆盖面一般，可行性一般，基本满足各项要求，3分；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（4）未提出服务承诺及技术保证，0分。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35"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4</w:t>
            </w:r>
          </w:p>
        </w:tc>
        <w:tc>
          <w:tcPr>
            <w:tcW w:w="1793"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项目团队配备</w:t>
            </w:r>
          </w:p>
        </w:tc>
        <w:tc>
          <w:tcPr>
            <w:tcW w:w="509"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10</w:t>
            </w:r>
          </w:p>
        </w:tc>
        <w:tc>
          <w:tcPr>
            <w:tcW w:w="6153" w:type="dxa"/>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根据投标人对本项目投入的技术人员职称、经验等进行综合评审，团队建设完备，有较强的专业技术力量合作支持：</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团队人员结构合理，专业性强，得10分；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团队人员结构较合理，专业性较强，得6分；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团队人员充足，有一定专业性，得3分；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团队人员结构不合理，得0分；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须提供服务人员名单，投标截止日前三个月的人员所在地缴纳社保证明及相关资质和能力证书复印件。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5</w:t>
            </w:r>
          </w:p>
        </w:tc>
        <w:tc>
          <w:tcPr>
            <w:tcW w:w="1793"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工作计划及进度安排</w:t>
            </w:r>
          </w:p>
        </w:tc>
        <w:tc>
          <w:tcPr>
            <w:tcW w:w="509" w:type="dxa"/>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10</w:t>
            </w:r>
          </w:p>
        </w:tc>
        <w:tc>
          <w:tcPr>
            <w:tcW w:w="6153" w:type="dxa"/>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（1）工作计划详实，可操作性强，工作时间与进度计划合理，满足项目要求得10分；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（2）工作计划比较详实，可操作性比较强，工作时间与进度计划比较合理，比较满足项目要求得6分；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（3）工作计划简单，工作时间与进度计划基本满足项目要求，得3分；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（4）工作计划不合理，工作时间与进度计划不满足项目要求，得0分。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微软雅黑" w:hAnsi="微软雅黑" w:eastAsia="微软雅黑"/>
                <w:color w:val="000000"/>
                <w:sz w:val="15"/>
                <w:szCs w:val="15"/>
              </w:rPr>
            </w:pPr>
            <w:r>
              <w:rPr>
                <w:rFonts w:hint="eastAsia" w:ascii="微软雅黑" w:hAnsi="微软雅黑" w:eastAsia="微软雅黑"/>
                <w:color w:val="000000"/>
                <w:sz w:val="15"/>
                <w:szCs w:val="15"/>
              </w:rPr>
              <w:t>6</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同类业绩</w:t>
            </w:r>
          </w:p>
        </w:tc>
        <w:tc>
          <w:tcPr>
            <w:tcW w:w="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微软雅黑" w:hAnsi="微软雅黑" w:eastAsia="微软雅黑"/>
                <w:color w:val="000000"/>
                <w:sz w:val="15"/>
                <w:szCs w:val="15"/>
                <w:lang w:val="en-US" w:eastAsia="zh-CN"/>
              </w:rPr>
            </w:pPr>
            <w:r>
              <w:rPr>
                <w:rFonts w:hint="eastAsia" w:ascii="微软雅黑" w:hAnsi="微软雅黑" w:eastAsia="微软雅黑"/>
                <w:color w:val="000000"/>
                <w:sz w:val="15"/>
                <w:szCs w:val="15"/>
                <w:lang w:val="en-US" w:eastAsia="zh-CN"/>
              </w:rPr>
              <w:t>10</w:t>
            </w:r>
          </w:p>
        </w:tc>
        <w:tc>
          <w:tcPr>
            <w:tcW w:w="6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投标人</w:t>
            </w:r>
            <w:r>
              <w:rPr>
                <w:rFonts w:ascii="微软雅黑" w:hAnsi="微软雅黑" w:eastAsia="微软雅黑"/>
                <w:color w:val="000000"/>
                <w:sz w:val="15"/>
                <w:szCs w:val="15"/>
              </w:rPr>
              <w:t>20</w:t>
            </w:r>
            <w:r>
              <w:rPr>
                <w:rFonts w:hint="eastAsia" w:ascii="微软雅黑" w:hAnsi="微软雅黑" w:eastAsia="微软雅黑"/>
                <w:color w:val="000000"/>
                <w:sz w:val="15"/>
                <w:szCs w:val="15"/>
                <w:lang w:val="en-US" w:eastAsia="zh-CN"/>
              </w:rPr>
              <w:t>22</w:t>
            </w:r>
            <w:r>
              <w:rPr>
                <w:rFonts w:ascii="微软雅黑" w:hAnsi="微软雅黑" w:eastAsia="微软雅黑"/>
                <w:color w:val="000000"/>
                <w:sz w:val="15"/>
                <w:szCs w:val="15"/>
              </w:rPr>
              <w:t>年1月1日</w:t>
            </w:r>
            <w:r>
              <w:rPr>
                <w:rFonts w:hint="eastAsia" w:ascii="微软雅黑" w:hAnsi="微软雅黑" w:eastAsia="微软雅黑"/>
                <w:color w:val="000000"/>
                <w:sz w:val="15"/>
                <w:szCs w:val="15"/>
              </w:rPr>
              <w:t>以来（以合同签订时间为准）完成与本项目同类业绩的，每个得2分。本项最高得</w:t>
            </w:r>
            <w:r>
              <w:rPr>
                <w:rFonts w:hint="eastAsia" w:ascii="微软雅黑" w:hAnsi="微软雅黑" w:eastAsia="微软雅黑"/>
                <w:color w:val="000000"/>
                <w:sz w:val="15"/>
                <w:szCs w:val="15"/>
                <w:lang w:val="en-US" w:eastAsia="zh-CN"/>
              </w:rPr>
              <w:t>10</w:t>
            </w:r>
            <w:r>
              <w:rPr>
                <w:rFonts w:hint="eastAsia" w:ascii="微软雅黑" w:hAnsi="微软雅黑" w:eastAsia="微软雅黑"/>
                <w:color w:val="000000"/>
                <w:sz w:val="15"/>
                <w:szCs w:val="15"/>
              </w:rPr>
              <w:t>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注：需提供合同或中标通知书复印件且加盖，否则不得分。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微软雅黑" w:hAnsi="微软雅黑" w:eastAsia="微软雅黑"/>
                <w:color w:val="000000"/>
                <w:sz w:val="15"/>
                <w:szCs w:val="15"/>
              </w:rPr>
            </w:pPr>
            <w:r>
              <w:rPr>
                <w:rFonts w:hint="eastAsia" w:ascii="微软雅黑" w:hAnsi="微软雅黑" w:eastAsia="微软雅黑"/>
                <w:color w:val="000000"/>
                <w:sz w:val="15"/>
                <w:szCs w:val="15"/>
              </w:rPr>
              <w:t>7</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企业管理体系</w:t>
            </w:r>
          </w:p>
        </w:tc>
        <w:tc>
          <w:tcPr>
            <w:tcW w:w="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微软雅黑" w:hAnsi="微软雅黑" w:eastAsia="微软雅黑"/>
                <w:color w:val="000000"/>
                <w:sz w:val="15"/>
                <w:szCs w:val="15"/>
                <w:lang w:eastAsia="zh-CN"/>
              </w:rPr>
            </w:pPr>
            <w:r>
              <w:rPr>
                <w:rFonts w:hint="eastAsia" w:ascii="微软雅黑" w:hAnsi="微软雅黑" w:eastAsia="微软雅黑"/>
                <w:color w:val="000000"/>
                <w:sz w:val="15"/>
                <w:szCs w:val="15"/>
                <w:lang w:val="en-US" w:eastAsia="zh-CN"/>
              </w:rPr>
              <w:t>6</w:t>
            </w:r>
          </w:p>
        </w:tc>
        <w:tc>
          <w:tcPr>
            <w:tcW w:w="6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投标人提供以下</w:t>
            </w:r>
            <w:r>
              <w:rPr>
                <w:rFonts w:hint="eastAsia" w:ascii="微软雅黑" w:hAnsi="微软雅黑" w:eastAsia="微软雅黑"/>
                <w:color w:val="000000"/>
                <w:sz w:val="15"/>
                <w:szCs w:val="15"/>
                <w:lang w:val="en-US" w:eastAsia="zh-CN"/>
              </w:rPr>
              <w:t>3</w:t>
            </w:r>
            <w:r>
              <w:rPr>
                <w:rFonts w:hint="eastAsia" w:ascii="微软雅黑" w:hAnsi="微软雅黑" w:eastAsia="微软雅黑"/>
                <w:color w:val="000000"/>
                <w:sz w:val="15"/>
                <w:szCs w:val="15"/>
              </w:rPr>
              <w:t>个管理体系认证证书，每一个得</w:t>
            </w:r>
            <w:r>
              <w:rPr>
                <w:rFonts w:ascii="微软雅黑" w:hAnsi="微软雅黑" w:eastAsia="微软雅黑"/>
                <w:color w:val="000000"/>
                <w:sz w:val="15"/>
                <w:szCs w:val="15"/>
              </w:rPr>
              <w:t>2</w:t>
            </w:r>
            <w:r>
              <w:rPr>
                <w:rFonts w:hint="eastAsia" w:ascii="微软雅黑" w:hAnsi="微软雅黑" w:eastAsia="微软雅黑"/>
                <w:color w:val="000000"/>
                <w:sz w:val="15"/>
                <w:szCs w:val="15"/>
              </w:rPr>
              <w:t>分，本评分项最多得</w:t>
            </w:r>
            <w:r>
              <w:rPr>
                <w:rFonts w:hint="eastAsia" w:ascii="微软雅黑" w:hAnsi="微软雅黑" w:eastAsia="微软雅黑"/>
                <w:color w:val="000000"/>
                <w:sz w:val="15"/>
                <w:szCs w:val="15"/>
                <w:lang w:eastAsia="zh-CN"/>
              </w:rPr>
              <w:t>6</w:t>
            </w:r>
            <w:r>
              <w:rPr>
                <w:rFonts w:hint="eastAsia" w:ascii="微软雅黑" w:hAnsi="微软雅黑" w:eastAsia="微软雅黑"/>
                <w:color w:val="000000"/>
                <w:sz w:val="15"/>
                <w:szCs w:val="15"/>
              </w:rPr>
              <w:t>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（1）质量管理体系认证证书；</w:t>
            </w:r>
          </w:p>
          <w:p>
            <w:pPr>
              <w:adjustRightInd w:val="0"/>
              <w:snapToGrid w:val="0"/>
              <w:spacing w:line="240" w:lineRule="exact"/>
              <w:rPr>
                <w:rFonts w:hint="eastAsia" w:ascii="微软雅黑" w:hAnsi="微软雅黑" w:eastAsia="微软雅黑"/>
                <w:color w:val="000000"/>
                <w:sz w:val="15"/>
                <w:szCs w:val="15"/>
                <w:lang w:eastAsia="zh-CN"/>
              </w:rPr>
            </w:pPr>
            <w:r>
              <w:rPr>
                <w:rFonts w:hint="eastAsia" w:ascii="微软雅黑" w:hAnsi="微软雅黑" w:eastAsia="微软雅黑"/>
                <w:color w:val="000000"/>
                <w:sz w:val="15"/>
                <w:szCs w:val="15"/>
              </w:rPr>
              <w:t>（2）职业健康管理体系认证证书</w:t>
            </w:r>
            <w:r>
              <w:rPr>
                <w:rFonts w:hint="eastAsia" w:ascii="微软雅黑" w:hAnsi="微软雅黑" w:eastAsia="微软雅黑"/>
                <w:color w:val="000000"/>
                <w:sz w:val="15"/>
                <w:szCs w:val="15"/>
                <w:lang w:eastAsia="zh-CN"/>
              </w:rPr>
              <w:t>；</w:t>
            </w:r>
          </w:p>
          <w:p>
            <w:pPr>
              <w:adjustRightInd w:val="0"/>
              <w:snapToGrid w:val="0"/>
              <w:spacing w:line="240" w:lineRule="exact"/>
              <w:rPr>
                <w:rFonts w:hint="eastAsia" w:ascii="微软雅黑" w:hAnsi="微软雅黑" w:eastAsia="微软雅黑"/>
                <w:color w:val="000000"/>
                <w:sz w:val="15"/>
                <w:szCs w:val="15"/>
                <w:lang w:eastAsia="zh-CN"/>
              </w:rPr>
            </w:pPr>
            <w:r>
              <w:rPr>
                <w:rFonts w:hint="eastAsia" w:ascii="微软雅黑" w:hAnsi="微软雅黑" w:eastAsia="微软雅黑"/>
                <w:color w:val="000000"/>
                <w:sz w:val="15"/>
                <w:szCs w:val="15"/>
              </w:rPr>
              <w:t>（3）环境管理体系认证证书</w:t>
            </w:r>
            <w:r>
              <w:rPr>
                <w:rFonts w:hint="eastAsia" w:ascii="微软雅黑" w:hAnsi="微软雅黑" w:eastAsia="微软雅黑"/>
                <w:color w:val="000000"/>
                <w:sz w:val="15"/>
                <w:szCs w:val="15"/>
                <w:lang w:eastAsia="zh-CN"/>
              </w:rPr>
              <w:t>；</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注：须同时提供有效认证证书复印件并加盖响应供应商公章及全国认证认可信息公共服务平台（http://cx.cnca.cn/）查询打印页并加盖响应供应商公章，不提供不得分。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微软雅黑" w:hAnsi="微软雅黑" w:eastAsia="微软雅黑"/>
                <w:color w:val="000000"/>
                <w:sz w:val="15"/>
                <w:szCs w:val="15"/>
              </w:rPr>
            </w:pPr>
            <w:r>
              <w:rPr>
                <w:rFonts w:hint="eastAsia" w:ascii="微软雅黑" w:hAnsi="微软雅黑" w:eastAsia="微软雅黑"/>
                <w:color w:val="000000"/>
                <w:sz w:val="15"/>
                <w:szCs w:val="15"/>
              </w:rPr>
              <w:t>8</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投标人资质和信誉</w:t>
            </w:r>
          </w:p>
        </w:tc>
        <w:tc>
          <w:tcPr>
            <w:tcW w:w="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ascii="微软雅黑" w:hAnsi="微软雅黑" w:eastAsia="微软雅黑"/>
                <w:color w:val="000000"/>
                <w:sz w:val="15"/>
                <w:szCs w:val="15"/>
              </w:rPr>
              <w:t>5</w:t>
            </w:r>
          </w:p>
        </w:tc>
        <w:tc>
          <w:tcPr>
            <w:tcW w:w="6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投标人荣获第三方（政府部门或行业协会等）颁发的荣誉或嘉奖情况进行综合评审：获得省级荣誉或嘉奖的，每提供一项得2分；省级以下荣誉或嘉奖的，每提供一项得1分；总得分不超过</w:t>
            </w:r>
            <w:r>
              <w:rPr>
                <w:rFonts w:hint="eastAsia" w:ascii="微软雅黑" w:hAnsi="微软雅黑" w:eastAsia="微软雅黑"/>
                <w:color w:val="000000"/>
                <w:sz w:val="15"/>
                <w:szCs w:val="15"/>
                <w:lang w:eastAsia="zh-CN"/>
              </w:rPr>
              <w:t>5</w:t>
            </w:r>
            <w:r>
              <w:rPr>
                <w:rFonts w:hint="eastAsia" w:ascii="微软雅黑" w:hAnsi="微软雅黑" w:eastAsia="微软雅黑"/>
                <w:color w:val="000000"/>
                <w:sz w:val="15"/>
                <w:szCs w:val="15"/>
              </w:rPr>
              <w:t>分。无：得0分。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微软雅黑" w:hAnsi="微软雅黑" w:eastAsia="微软雅黑"/>
                <w:color w:val="000000"/>
                <w:sz w:val="15"/>
                <w:szCs w:val="15"/>
              </w:rPr>
            </w:pPr>
            <w:r>
              <w:rPr>
                <w:rFonts w:hint="eastAsia" w:ascii="微软雅黑" w:hAnsi="微软雅黑" w:eastAsia="微软雅黑"/>
                <w:color w:val="000000"/>
                <w:sz w:val="15"/>
                <w:szCs w:val="15"/>
              </w:rPr>
              <w:t>9</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企业信用等级证书</w:t>
            </w:r>
          </w:p>
        </w:tc>
        <w:tc>
          <w:tcPr>
            <w:tcW w:w="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ascii="微软雅黑" w:hAnsi="微软雅黑" w:eastAsia="微软雅黑"/>
                <w:color w:val="000000"/>
                <w:sz w:val="15"/>
                <w:szCs w:val="15"/>
              </w:rPr>
              <w:t>5</w:t>
            </w:r>
          </w:p>
        </w:tc>
        <w:tc>
          <w:tcPr>
            <w:tcW w:w="6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响应供应商获得企业信用评价AAA级证书得5分；AA级证书得3分；A级证书得1分；没有或其他不得分。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备注：提供有效期内的证书复印件。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10</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hint="eastAsia" w:ascii="微软雅黑" w:hAnsi="微软雅黑" w:eastAsia="微软雅黑"/>
                <w:color w:val="000000"/>
                <w:sz w:val="15"/>
                <w:szCs w:val="15"/>
              </w:rPr>
              <w:t>服务便利性</w:t>
            </w:r>
          </w:p>
        </w:tc>
        <w:tc>
          <w:tcPr>
            <w:tcW w:w="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ascii="微软雅黑" w:hAnsi="微软雅黑" w:eastAsia="微软雅黑"/>
                <w:color w:val="000000"/>
                <w:sz w:val="15"/>
                <w:szCs w:val="15"/>
              </w:rPr>
              <w:t>4</w:t>
            </w:r>
          </w:p>
        </w:tc>
        <w:tc>
          <w:tcPr>
            <w:tcW w:w="6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团队在接到采购人通知后能在1小时以内到达采购人地址的得</w:t>
            </w:r>
            <w:r>
              <w:rPr>
                <w:rFonts w:ascii="微软雅黑" w:hAnsi="微软雅黑" w:eastAsia="微软雅黑"/>
                <w:color w:val="000000"/>
                <w:sz w:val="15"/>
                <w:szCs w:val="15"/>
              </w:rPr>
              <w:t>4</w:t>
            </w:r>
            <w:r>
              <w:rPr>
                <w:rFonts w:hint="eastAsia" w:ascii="微软雅黑" w:hAnsi="微软雅黑" w:eastAsia="微软雅黑"/>
                <w:color w:val="000000"/>
                <w:sz w:val="15"/>
                <w:szCs w:val="15"/>
              </w:rPr>
              <w:t>分，1.5小时以内的得</w:t>
            </w:r>
            <w:r>
              <w:rPr>
                <w:rFonts w:ascii="微软雅黑" w:hAnsi="微软雅黑" w:eastAsia="微软雅黑"/>
                <w:color w:val="000000"/>
                <w:sz w:val="15"/>
                <w:szCs w:val="15"/>
              </w:rPr>
              <w:t>2</w:t>
            </w:r>
            <w:r>
              <w:rPr>
                <w:rFonts w:hint="eastAsia" w:ascii="微软雅黑" w:hAnsi="微软雅黑" w:eastAsia="微软雅黑"/>
                <w:color w:val="000000"/>
                <w:sz w:val="15"/>
                <w:szCs w:val="15"/>
              </w:rPr>
              <w:t>分，2小时以内的得1分，其他不得分。</w:t>
            </w:r>
          </w:p>
          <w:p>
            <w:pPr>
              <w:adjustRightInd w:val="0"/>
              <w:snapToGrid w:val="0"/>
              <w:spacing w:line="240" w:lineRule="exact"/>
              <w:rPr>
                <w:rFonts w:ascii="微软雅黑" w:hAnsi="微软雅黑" w:eastAsia="微软雅黑"/>
                <w:color w:val="000000"/>
                <w:sz w:val="15"/>
                <w:szCs w:val="15"/>
              </w:rPr>
            </w:pPr>
            <w:r>
              <w:rPr>
                <w:rFonts w:hint="eastAsia" w:ascii="微软雅黑" w:hAnsi="微软雅黑" w:eastAsia="微软雅黑"/>
                <w:color w:val="000000"/>
                <w:sz w:val="15"/>
                <w:szCs w:val="15"/>
              </w:rPr>
              <w:t>注：须提供供应商办公地址至采购人地址的百度地图所示的驾驶时间截图作为证明材料，否则不得分。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微软雅黑" w:hAnsi="微软雅黑" w:eastAsia="微软雅黑"/>
                <w:color w:val="000000"/>
                <w:sz w:val="15"/>
                <w:szCs w:val="15"/>
              </w:rPr>
            </w:pPr>
            <w:r>
              <w:rPr>
                <w:rFonts w:ascii="微软雅黑" w:hAnsi="微软雅黑" w:eastAsia="微软雅黑"/>
                <w:color w:val="000000"/>
                <w:sz w:val="15"/>
                <w:szCs w:val="15"/>
              </w:rPr>
              <w:t>合计</w:t>
            </w:r>
          </w:p>
        </w:tc>
        <w:tc>
          <w:tcPr>
            <w:tcW w:w="6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微软雅黑" w:hAnsi="微软雅黑" w:eastAsia="微软雅黑"/>
                <w:color w:val="000000"/>
                <w:sz w:val="15"/>
                <w:szCs w:val="15"/>
              </w:rPr>
            </w:pPr>
            <w:r>
              <w:rPr>
                <w:rFonts w:hint="eastAsia" w:ascii="微软雅黑" w:hAnsi="微软雅黑" w:eastAsia="微软雅黑"/>
                <w:color w:val="000000"/>
                <w:sz w:val="15"/>
                <w:szCs w:val="15"/>
              </w:rPr>
              <w:t>9</w:t>
            </w:r>
            <w:r>
              <w:rPr>
                <w:rFonts w:ascii="微软雅黑" w:hAnsi="微软雅黑" w:eastAsia="微软雅黑"/>
                <w:color w:val="000000"/>
                <w:sz w:val="15"/>
                <w:szCs w:val="15"/>
              </w:rPr>
              <w:t>0分</w:t>
            </w:r>
          </w:p>
        </w:tc>
      </w:tr>
    </w:tbl>
    <w:p>
      <w:pPr>
        <w:spacing w:line="240" w:lineRule="exact"/>
        <w:rPr>
          <w:rFonts w:ascii="微软雅黑" w:hAnsi="微软雅黑" w:eastAsia="微软雅黑"/>
          <w:bCs/>
          <w:sz w:val="18"/>
          <w:szCs w:val="18"/>
        </w:rPr>
      </w:pPr>
      <w:r>
        <w:rPr>
          <w:rFonts w:hint="eastAsia" w:ascii="微软雅黑" w:hAnsi="微软雅黑" w:eastAsia="微软雅黑"/>
          <w:bCs/>
          <w:sz w:val="18"/>
          <w:szCs w:val="18"/>
        </w:rPr>
        <w:t>注：1.各评委按规定的范围内进行量化打分，并统计总分。</w:t>
      </w:r>
    </w:p>
    <w:p>
      <w:pPr>
        <w:spacing w:line="240" w:lineRule="exact"/>
        <w:ind w:firstLine="360" w:firstLineChars="200"/>
        <w:rPr>
          <w:rFonts w:ascii="微软雅黑" w:hAnsi="微软雅黑" w:eastAsia="微软雅黑"/>
          <w:sz w:val="18"/>
          <w:szCs w:val="18"/>
        </w:rPr>
      </w:pPr>
      <w:r>
        <w:rPr>
          <w:rFonts w:hint="eastAsia" w:ascii="微软雅黑" w:hAnsi="微软雅黑" w:eastAsia="微软雅黑"/>
          <w:sz w:val="18"/>
          <w:szCs w:val="18"/>
        </w:rPr>
        <w:t>2.投标人能够在线提供的材料，投标人可不提供纸质材料，此类信息或材料，响应文件中应提供查询网址，为避免产生异议，除法律法规特别规定外，查询到的信息、材料真实性、有效性以投标人提供的网址为准。磋商文件要求提交的与评价指标体系相关的各类有效资料，投标人如未按要求提交的，该项评分为零分。</w:t>
      </w:r>
    </w:p>
    <w:p>
      <w:pPr>
        <w:adjustRightInd w:val="0"/>
        <w:snapToGrid w:val="0"/>
        <w:spacing w:line="276" w:lineRule="auto"/>
        <w:ind w:firstLine="321" w:firstLineChars="100"/>
        <w:rPr>
          <w:rFonts w:hint="eastAsia" w:ascii="楷体" w:hAnsi="楷体" w:eastAsia="楷体" w:cs="楷体"/>
          <w:b/>
          <w:bCs/>
          <w:sz w:val="32"/>
          <w:szCs w:val="32"/>
        </w:rPr>
      </w:pPr>
    </w:p>
    <w:p>
      <w:pPr>
        <w:adjustRightInd w:val="0"/>
        <w:snapToGrid w:val="0"/>
        <w:spacing w:line="276" w:lineRule="auto"/>
        <w:ind w:firstLine="321" w:firstLineChars="100"/>
        <w:jc w:val="left"/>
        <w:rPr>
          <w:rFonts w:hint="eastAsia" w:ascii="仿宋_GB2312" w:hAnsi="仿宋_GB2312" w:eastAsia="仿宋_GB2312" w:cs="仿宋_GB2312"/>
          <w:b w:val="0"/>
          <w:bCs/>
          <w:color w:val="000000"/>
          <w:sz w:val="30"/>
          <w:szCs w:val="30"/>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价格</w:t>
      </w:r>
      <w:r>
        <w:rPr>
          <w:rFonts w:hint="eastAsia" w:ascii="楷体" w:hAnsi="楷体" w:eastAsia="楷体" w:cs="楷体"/>
          <w:b/>
          <w:bCs/>
          <w:sz w:val="32"/>
          <w:szCs w:val="32"/>
        </w:rPr>
        <w:t>评分：</w:t>
      </w:r>
    </w:p>
    <w:p>
      <w:pPr>
        <w:adjustRightInd w:val="0"/>
        <w:snapToGrid w:val="0"/>
        <w:spacing w:line="560" w:lineRule="exact"/>
        <w:ind w:firstLine="640" w:firstLineChars="200"/>
        <w:jc w:val="lef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各有效供应商的评审价中（以最终报价为依据），取最低价者作为基准价，各有效响应供应商的价格评分统一按照下列公式计算：价格得分＝（基准价÷评审价）×10</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A4DD36-67BD-4951-A101-51A63F2D95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975B8B-45C3-4A2C-BE2D-F10FEA576419}"/>
  </w:font>
  <w:font w:name="微软雅黑">
    <w:panose1 w:val="020B0503020204020204"/>
    <w:charset w:val="86"/>
    <w:family w:val="auto"/>
    <w:pitch w:val="default"/>
    <w:sig w:usb0="80000287" w:usb1="2ACF3C50" w:usb2="00000016" w:usb3="00000000" w:csb0="0004001F" w:csb1="00000000"/>
    <w:embedRegular r:id="rId3" w:fontKey="{0EF10742-F86E-4EE4-BD5F-F007D650BE91}"/>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B2BBF4EF-58EA-436F-98D6-A27D9A05C43B}"/>
  </w:font>
  <w:font w:name="仿宋_GB2312">
    <w:altName w:val="仿宋"/>
    <w:panose1 w:val="02010609030101010101"/>
    <w:charset w:val="86"/>
    <w:family w:val="modern"/>
    <w:pitch w:val="default"/>
    <w:sig w:usb0="00000000" w:usb1="00000000" w:usb2="00000000" w:usb3="00000000" w:csb0="00040000" w:csb1="00000000"/>
    <w:embedRegular r:id="rId5" w:fontKey="{9F28BCDF-2550-4759-96F4-B0997E26E537}"/>
  </w:font>
  <w:font w:name="楷体">
    <w:panose1 w:val="02010609060101010101"/>
    <w:charset w:val="86"/>
    <w:family w:val="modern"/>
    <w:pitch w:val="default"/>
    <w:sig w:usb0="800002BF" w:usb1="38CF7CFA" w:usb2="00000016" w:usb3="00000000" w:csb0="00040001" w:csb1="00000000"/>
    <w:embedRegular r:id="rId6" w:fontKey="{7929EA5A-C8B5-4148-9BE7-0CA05A1B3A97}"/>
  </w:font>
  <w:font w:name="仿宋">
    <w:panose1 w:val="02010609060101010101"/>
    <w:charset w:val="86"/>
    <w:family w:val="modern"/>
    <w:pitch w:val="default"/>
    <w:sig w:usb0="800002BF" w:usb1="38CF7CFA" w:usb2="00000016" w:usb3="00000000" w:csb0="00040001" w:csb1="00000000"/>
    <w:embedRegular r:id="rId7" w:fontKey="{326FDE4E-A141-4E9C-893E-728ACB9E5C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jc5NDBlNTk1M2IxMjk4Mjg0MjE4NTY3MzU5ZDgifQ=="/>
    <w:docVar w:name="KSO_WPS_MARK_KEY" w:val="12f9f010-b36d-4dca-8b4b-b74ff75ad014"/>
  </w:docVars>
  <w:rsids>
    <w:rsidRoot w:val="59A34AD9"/>
    <w:rsid w:val="59A3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80" w:lineRule="exact"/>
      <w:ind w:firstLine="200" w:firstLineChars="200"/>
      <w:outlineLvl w:val="1"/>
    </w:pPr>
    <w:rPr>
      <w:rFonts w:ascii="Times New Roman" w:hAnsi="Times New Roman" w:eastAsia="黑体" w:cs="Times New Roman"/>
      <w:kern w:val="0"/>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line="360" w:lineRule="auto"/>
      <w:ind w:firstLine="425"/>
    </w:pPr>
    <w:rPr>
      <w:sz w:val="24"/>
      <w:szCs w:val="20"/>
    </w:rPr>
  </w:style>
  <w:style w:type="paragraph" w:styleId="4">
    <w:name w:val="Body Text First Indent"/>
    <w:basedOn w:val="3"/>
    <w:qFormat/>
    <w:uiPriority w:val="0"/>
    <w:pPr>
      <w:ind w:firstLine="420" w:firstLineChars="1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2025-03-26T07:58:00Z</dcterms:created>
  <dc:creator>zmh</dc:creator>
  <cp:lastModifiedBy>zmh</cp:lastModifiedBy>
  <dcterms:modified xsi:type="dcterms:W3CDTF">2025-03-26T07:59:42Z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2FC33171C8E043E1B1CEDB5A29F3EC07_11</vt:lpwstr>
  </property>
</Properties>
</file>